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DF" w:rsidRPr="00543DCE" w:rsidRDefault="00EE4FDF" w:rsidP="00543DC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DCE">
        <w:rPr>
          <w:rFonts w:ascii="Times New Roman" w:hAnsi="Times New Roman" w:cs="Times New Roman"/>
          <w:b/>
          <w:sz w:val="32"/>
          <w:szCs w:val="32"/>
        </w:rPr>
        <w:t>Порядок оформления прав на садовые участки в СНТ</w:t>
      </w:r>
    </w:p>
    <w:p w:rsidR="00EE4FDF" w:rsidRPr="00EE4FDF" w:rsidRDefault="00EE4FDF" w:rsidP="00EE4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FDF">
        <w:rPr>
          <w:rFonts w:ascii="Times New Roman" w:hAnsi="Times New Roman" w:cs="Times New Roman"/>
          <w:sz w:val="28"/>
          <w:szCs w:val="28"/>
        </w:rPr>
        <w:t>Согласно Федеральному закону от 23.06.2014 г. № 171-ФЗ «О внесении изменений в Земельный кодекс РФ и отдельные законодательные акты» статья 14 Закона № 66-ФЗ была изложена в новой редакции, пунктом 3 которой установлено, что земельные участки, образованные в соответствии с проектом межевания территории из земельного участка, предоставленного садоводческому, огородническому или дачному некоммерческому объединению, предоставляются членам такого объединения в соответствии с распределением образованных</w:t>
      </w:r>
      <w:proofErr w:type="gramEnd"/>
      <w:r w:rsidRPr="00EE4FDF">
        <w:rPr>
          <w:rFonts w:ascii="Times New Roman" w:hAnsi="Times New Roman" w:cs="Times New Roman"/>
          <w:sz w:val="28"/>
          <w:szCs w:val="28"/>
        </w:rPr>
        <w:t xml:space="preserve"> или образуемых земельных участков в собственность или аренду без проведения торгов в порядке, установленном Земельным кодексом РФ.</w:t>
      </w:r>
    </w:p>
    <w:p w:rsidR="00EE4FDF" w:rsidRPr="00EE4FDF" w:rsidRDefault="00EE4FDF" w:rsidP="00EE4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 xml:space="preserve">Садовые, огородные или дачные земельные участки предоставляются в собственность бесплатно в случаях, установленных федеральными законами, законами субъектов Российской Федерации. </w:t>
      </w:r>
      <w:proofErr w:type="gramStart"/>
      <w:r w:rsidRPr="00EE4FDF">
        <w:rPr>
          <w:rFonts w:ascii="Times New Roman" w:hAnsi="Times New Roman" w:cs="Times New Roman"/>
          <w:sz w:val="28"/>
          <w:szCs w:val="28"/>
        </w:rPr>
        <w:t>Кроме того, Законом № 171-ФЗ ст. 3 Федерального закона от 25.10. 2001 г. № 137-ФЗ «О введении в действие Земельного кодекса РФ» дополнена пунктами 2.7 - 2.10, устанавливающими порядок предоставления земельного участка членам садоводческого, огороднического или дачного некоммерческого объединения граждан в собственность на основании решения исполнительного органа государственной власти или органа местного самоуправления, предусмотренных статьей 39.2 Земельного кодекса РФ.</w:t>
      </w:r>
      <w:proofErr w:type="gramEnd"/>
    </w:p>
    <w:p w:rsidR="00EE4FDF" w:rsidRPr="00EE4FDF" w:rsidRDefault="00EE4FDF" w:rsidP="00EE4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FDF">
        <w:rPr>
          <w:rFonts w:ascii="Times New Roman" w:hAnsi="Times New Roman" w:cs="Times New Roman"/>
          <w:sz w:val="28"/>
          <w:szCs w:val="28"/>
        </w:rPr>
        <w:t>Уполномоченным исполнительным органом государственной власти Воронежской области, осуществляющим государственные полномочия в сфере земельных отношений является</w:t>
      </w:r>
      <w:proofErr w:type="gramEnd"/>
      <w:r w:rsidRPr="00EE4FDF">
        <w:rPr>
          <w:rFonts w:ascii="Times New Roman" w:hAnsi="Times New Roman" w:cs="Times New Roman"/>
          <w:sz w:val="28"/>
          <w:szCs w:val="28"/>
        </w:rPr>
        <w:t xml:space="preserve"> Департамент имущественных и земельных отношений по Воронежской области.</w:t>
      </w:r>
    </w:p>
    <w:p w:rsidR="00EE4FDF" w:rsidRPr="00EE4FDF" w:rsidRDefault="00EE4FDF" w:rsidP="00EE4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>Кроме того, одним из оснований возникновения права собственности может являться вступившее в законную силу решение суда.</w:t>
      </w:r>
    </w:p>
    <w:p w:rsidR="00EE4FDF" w:rsidRPr="00EE4FDF" w:rsidRDefault="00EE4FDF" w:rsidP="00EE4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>При наличии правоустанавливающего документа на земельный участок, а также сведений о земельном участке в кадастре недвижимости, Вы вправе обратиться в любой центр приема документов МФЦ по следующим адресам:</w:t>
      </w:r>
    </w:p>
    <w:p w:rsidR="00EE4FDF" w:rsidRPr="00EE4FDF" w:rsidRDefault="00EE4FDF" w:rsidP="00EE4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4F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4FDF">
        <w:rPr>
          <w:rFonts w:ascii="Times New Roman" w:hAnsi="Times New Roman" w:cs="Times New Roman"/>
          <w:sz w:val="28"/>
          <w:szCs w:val="28"/>
        </w:rPr>
        <w:t>. Воронеж, ул. Дружинников, 3б, ост. Политехнический институт;</w:t>
      </w:r>
    </w:p>
    <w:p w:rsidR="00EE4FDF" w:rsidRPr="00EE4FDF" w:rsidRDefault="00EE4FDF" w:rsidP="00EE4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4F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4FDF">
        <w:rPr>
          <w:rFonts w:ascii="Times New Roman" w:hAnsi="Times New Roman" w:cs="Times New Roman"/>
          <w:sz w:val="28"/>
          <w:szCs w:val="28"/>
        </w:rPr>
        <w:t>. Воронеж, ул.20 лет Октября, д.123, ТЦ «Европа»;</w:t>
      </w:r>
    </w:p>
    <w:p w:rsidR="00EE4FDF" w:rsidRPr="00EE4FDF" w:rsidRDefault="00EE4FDF" w:rsidP="00EE4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4F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4FDF">
        <w:rPr>
          <w:rFonts w:ascii="Times New Roman" w:hAnsi="Times New Roman" w:cs="Times New Roman"/>
          <w:sz w:val="28"/>
          <w:szCs w:val="28"/>
        </w:rPr>
        <w:t>. Воронеж, ул. Домостроителей, 24, ТЦ «Лента»;</w:t>
      </w:r>
    </w:p>
    <w:p w:rsidR="00EE4FDF" w:rsidRPr="00EE4FDF" w:rsidRDefault="00EE4FDF" w:rsidP="00EE4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EE4F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4FDF">
        <w:rPr>
          <w:rFonts w:ascii="Times New Roman" w:hAnsi="Times New Roman" w:cs="Times New Roman"/>
          <w:sz w:val="28"/>
          <w:szCs w:val="28"/>
        </w:rPr>
        <w:t>. Воронеж, Московский проспект, 129/1, ТРЦ «Московский проспект»;</w:t>
      </w:r>
    </w:p>
    <w:p w:rsidR="00EE4FDF" w:rsidRPr="00EE4FDF" w:rsidRDefault="00EE4FDF" w:rsidP="00EE4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 xml:space="preserve">- г. Воронеж, Ленинский проспект, 174 </w:t>
      </w:r>
      <w:proofErr w:type="gramStart"/>
      <w:r w:rsidRPr="00EE4F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4FDF">
        <w:rPr>
          <w:rFonts w:ascii="Times New Roman" w:hAnsi="Times New Roman" w:cs="Times New Roman"/>
          <w:sz w:val="28"/>
          <w:szCs w:val="28"/>
        </w:rPr>
        <w:t>, ТЦ«Максимир»;</w:t>
      </w:r>
    </w:p>
    <w:p w:rsidR="00A036E6" w:rsidRPr="00EE4FDF" w:rsidRDefault="00EE4FDF" w:rsidP="00EE4FDF">
      <w:pPr>
        <w:ind w:firstLine="709"/>
        <w:jc w:val="both"/>
      </w:pPr>
      <w:r w:rsidRPr="00EE4F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4F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4FDF">
        <w:rPr>
          <w:rFonts w:ascii="Times New Roman" w:hAnsi="Times New Roman" w:cs="Times New Roman"/>
          <w:sz w:val="28"/>
          <w:szCs w:val="28"/>
        </w:rPr>
        <w:t>. Воронеж, ул. Ростовская,34, ост. ДК Шинников.</w:t>
      </w:r>
    </w:p>
    <w:sectPr w:rsidR="00A036E6" w:rsidRPr="00EE4FDF" w:rsidSect="00B3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1BCE"/>
    <w:rsid w:val="00543DCE"/>
    <w:rsid w:val="005976BB"/>
    <w:rsid w:val="00710CCE"/>
    <w:rsid w:val="00881BAC"/>
    <w:rsid w:val="00B34E99"/>
    <w:rsid w:val="00C26B0C"/>
    <w:rsid w:val="00E278C3"/>
    <w:rsid w:val="00EC1BCE"/>
    <w:rsid w:val="00EE4FDF"/>
    <w:rsid w:val="00F7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>Kraftway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kramareva_o</dc:creator>
  <cp:lastModifiedBy>Shkurba Galina A.</cp:lastModifiedBy>
  <cp:revision>3</cp:revision>
  <dcterms:created xsi:type="dcterms:W3CDTF">2018-09-17T08:39:00Z</dcterms:created>
  <dcterms:modified xsi:type="dcterms:W3CDTF">2018-09-21T09:53:00Z</dcterms:modified>
</cp:coreProperties>
</file>