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</w:t>
      </w:r>
      <w:r w:rsidR="007D4B7B">
        <w:rPr>
          <w:b/>
          <w:szCs w:val="28"/>
        </w:rPr>
        <w:t>П</w:t>
      </w:r>
      <w:r w:rsidR="007D4B7B" w:rsidRPr="009B7546">
        <w:rPr>
          <w:b/>
          <w:szCs w:val="28"/>
        </w:rPr>
        <w:t xml:space="preserve">роверка </w:t>
      </w:r>
      <w:r w:rsidR="00DC7C8F" w:rsidRPr="005D3484">
        <w:rPr>
          <w:b/>
          <w:szCs w:val="28"/>
        </w:rPr>
        <w:t>законности и эффе</w:t>
      </w:r>
      <w:r w:rsidR="00DC7C8F" w:rsidRPr="005D3484">
        <w:rPr>
          <w:b/>
          <w:szCs w:val="28"/>
        </w:rPr>
        <w:t>к</w:t>
      </w:r>
      <w:r w:rsidR="00DC7C8F" w:rsidRPr="005D3484">
        <w:rPr>
          <w:b/>
          <w:szCs w:val="28"/>
        </w:rPr>
        <w:t xml:space="preserve">тивности использования бюджетных средств, выделенных </w:t>
      </w:r>
      <w:r w:rsidR="00DC7C8F" w:rsidRPr="00404BDD">
        <w:rPr>
          <w:b/>
          <w:szCs w:val="28"/>
        </w:rPr>
        <w:t>Муниципал</w:t>
      </w:r>
      <w:r w:rsidR="00DC7C8F" w:rsidRPr="00404BDD">
        <w:rPr>
          <w:b/>
          <w:szCs w:val="28"/>
        </w:rPr>
        <w:t>ь</w:t>
      </w:r>
      <w:r w:rsidR="00DC7C8F" w:rsidRPr="00404BDD">
        <w:rPr>
          <w:b/>
          <w:szCs w:val="28"/>
        </w:rPr>
        <w:t xml:space="preserve">ному казенному учреждению </w:t>
      </w:r>
      <w:r w:rsidR="00DC7C8F">
        <w:rPr>
          <w:b/>
          <w:szCs w:val="28"/>
        </w:rPr>
        <w:t xml:space="preserve">дополнительного образования </w:t>
      </w:r>
      <w:r w:rsidR="00DC7C8F" w:rsidRPr="00404BDD">
        <w:rPr>
          <w:b/>
          <w:szCs w:val="28"/>
        </w:rPr>
        <w:t>Новохоперск</w:t>
      </w:r>
      <w:r w:rsidR="00DC7C8F" w:rsidRPr="00404BDD">
        <w:rPr>
          <w:b/>
          <w:szCs w:val="28"/>
        </w:rPr>
        <w:t>о</w:t>
      </w:r>
      <w:r w:rsidR="00DC7C8F" w:rsidRPr="00404BDD">
        <w:rPr>
          <w:b/>
          <w:szCs w:val="28"/>
        </w:rPr>
        <w:t>го муниципального района Воронежской области "</w:t>
      </w:r>
      <w:r w:rsidR="00DC7C8F" w:rsidRPr="00811394">
        <w:rPr>
          <w:b/>
          <w:szCs w:val="28"/>
        </w:rPr>
        <w:t>Детско-юношеская спортивная школа" за 2022 год и истекший период 2023 года</w:t>
      </w:r>
      <w:r w:rsidRPr="00FE533B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п. 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1.</w:t>
      </w:r>
      <w:r w:rsid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14.09.2023 №5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председател</w:t>
      </w:r>
      <w:r w:rsidR="00BA65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ш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9568A7" w:rsidRPr="009568A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Проверка 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законности и эффективности использования бюджетных средств, выделенных Муниципал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ному казенному учреждению дополнительного образования Новохопе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"Детско-юношеская спортивная школа" за 2022</w:t>
      </w:r>
      <w:proofErr w:type="gramEnd"/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 и истекший период 2023 года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9568A7" w:rsidRPr="00DC7C8F" w:rsidRDefault="00FE533B" w:rsidP="00DC7C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определение законности, эффекти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ности, результативности, продуктивности и целевого использования средств бюджета Новохоперского муниципального района, предназначенных для фун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ционирования Муниципального казенного учреждения дополнительного обр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зования Новохоперского муниципального района Воронежской области «Де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ско-юношеская спортивная шк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ла».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DC7C8F" w:rsidP="00FE53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Муниципальное казенное учреждение дополнительного образования Н</w:t>
      </w:r>
      <w:r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вохоперского муниципального района Воронежской области «Детско-юношеская спортивная школа»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акт №б/</w:t>
      </w:r>
      <w:proofErr w:type="spellStart"/>
      <w:proofErr w:type="gramStart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25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0.202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DC7C8F" w:rsidRPr="00DC7C8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2022 год и истекший период 2023 года</w:t>
      </w:r>
      <w:r w:rsidR="007D4B7B" w:rsidRP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9568A7">
        <w:rPr>
          <w:rFonts w:ascii="Times New Roman" w:eastAsia="Times New Roman" w:hAnsi="Times New Roman" w:cs="Times New Roman"/>
          <w:snapToGrid w:val="0"/>
          <w:sz w:val="28"/>
          <w:szCs w:val="28"/>
        </w:rPr>
        <w:t>1</w:t>
      </w:r>
      <w:r w:rsidR="00DC7C8F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9568A7" w:rsidRPr="00E92C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C7C8F">
        <w:rPr>
          <w:rFonts w:ascii="Times New Roman" w:eastAsia="Times New Roman" w:hAnsi="Times New Roman" w:cs="Times New Roman"/>
          <w:snapToGrid w:val="0"/>
          <w:sz w:val="28"/>
          <w:szCs w:val="28"/>
        </w:rPr>
        <w:t>сентября</w:t>
      </w:r>
      <w:r w:rsidR="009568A7" w:rsidRPr="00E92C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</w:t>
      </w:r>
      <w:r w:rsidR="009568A7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DC7C8F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9568A7" w:rsidRPr="00E92C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C7C8F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DC7C8F">
        <w:rPr>
          <w:rFonts w:ascii="Times New Roman" w:eastAsia="Times New Roman" w:hAnsi="Times New Roman" w:cs="Times New Roman"/>
          <w:snapToGrid w:val="0"/>
          <w:sz w:val="28"/>
          <w:szCs w:val="28"/>
        </w:rPr>
        <w:t>к</w:t>
      </w:r>
      <w:r w:rsidR="00DC7C8F">
        <w:rPr>
          <w:rFonts w:ascii="Times New Roman" w:eastAsia="Times New Roman" w:hAnsi="Times New Roman" w:cs="Times New Roman"/>
          <w:snapToGrid w:val="0"/>
          <w:sz w:val="28"/>
          <w:szCs w:val="28"/>
        </w:rPr>
        <w:t>тября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202</w:t>
      </w:r>
      <w:r w:rsidR="007D4B7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года.</w:t>
      </w:r>
    </w:p>
    <w:p w:rsidR="007D4B7B" w:rsidRPr="00421CFF" w:rsidRDefault="007D4B7B" w:rsidP="002B59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C6675" w:rsidRDefault="007D4B7B" w:rsidP="00DC7C8F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EA9">
        <w:rPr>
          <w:rFonts w:ascii="Times New Roman" w:hAnsi="Times New Roman"/>
          <w:sz w:val="28"/>
          <w:szCs w:val="28"/>
          <w:shd w:val="clear" w:color="auto" w:fill="FFFFFF"/>
        </w:rPr>
        <w:t>Учреждение осуществляет свою деятельность на основании Устава</w:t>
      </w:r>
      <w:r w:rsidR="00DC7C8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66E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7C8F" w:rsidRPr="00CB160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C7C8F" w:rsidRPr="00CB160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C7C8F" w:rsidRPr="00CB1600">
        <w:rPr>
          <w:rFonts w:ascii="Times New Roman" w:eastAsia="Times New Roman" w:hAnsi="Times New Roman"/>
          <w:sz w:val="28"/>
          <w:szCs w:val="28"/>
          <w:lang w:eastAsia="ru-RU"/>
        </w:rPr>
        <w:t>вержденного постановлением администрации Нов</w:t>
      </w:r>
      <w:r w:rsidR="00DC7C8F" w:rsidRPr="00CB16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C7C8F" w:rsidRPr="00CB1600">
        <w:rPr>
          <w:rFonts w:ascii="Times New Roman" w:eastAsia="Times New Roman" w:hAnsi="Times New Roman"/>
          <w:sz w:val="28"/>
          <w:szCs w:val="28"/>
          <w:lang w:eastAsia="ru-RU"/>
        </w:rPr>
        <w:t xml:space="preserve">хоперского муниципального района Воронежской области </w:t>
      </w:r>
      <w:r w:rsidR="00DC7C8F" w:rsidRPr="00705E56">
        <w:rPr>
          <w:rFonts w:ascii="Times New Roman" w:eastAsia="Times New Roman" w:hAnsi="Times New Roman"/>
          <w:sz w:val="28"/>
          <w:szCs w:val="28"/>
          <w:lang w:eastAsia="ru-RU"/>
        </w:rPr>
        <w:t>от 02 декабря  2015 г. № 428</w:t>
      </w:r>
      <w:r w:rsidRPr="00166E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C7C8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Право на ведение образовательной деятельности возникло у Учрежд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 момента выдачи ему 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лицензии.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Учреждение имеет лицензию от 1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ДЛ-764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ствление образовательной деятельности, серия 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Л01 № 000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выданная 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ом образования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, науки и молодежной политики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C7C8F">
        <w:rPr>
          <w:rFonts w:ascii="Times New Roman" w:eastAsia="Times New Roman" w:hAnsi="Times New Roman"/>
          <w:sz w:val="28"/>
          <w:szCs w:val="28"/>
          <w:lang w:eastAsia="ru-RU"/>
        </w:rPr>
        <w:t>неж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ской о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C7C8F" w:rsidRPr="00204E39">
        <w:rPr>
          <w:rFonts w:ascii="Times New Roman" w:eastAsia="Times New Roman" w:hAnsi="Times New Roman"/>
          <w:sz w:val="28"/>
          <w:szCs w:val="28"/>
          <w:lang w:eastAsia="ru-RU"/>
        </w:rPr>
        <w:t>ласти. Срок действия лицензии –  бессрочно.</w:t>
      </w:r>
      <w:r w:rsidRPr="00166E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C7C8F" w:rsidRPr="00DC7C8F" w:rsidRDefault="00DC7C8F" w:rsidP="00DC7C8F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Предметом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деятельности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Учреждения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является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реализация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дополнител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ь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ных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общеобразовательных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программ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программ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спортивной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подготовки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н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а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правленных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на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максимально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возможное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привлечение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детей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к</w:t>
      </w:r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систем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а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тическим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занятиям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физической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культурой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спортом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их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физическое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развитие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и</w:t>
      </w:r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нравс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т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венное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воспитание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укрепление</w:t>
      </w:r>
      <w:proofErr w:type="spellEnd"/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здоровья</w:t>
      </w:r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организацию</w:t>
      </w:r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содержательного</w:t>
      </w:r>
      <w:r w:rsidRPr="00DC7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дос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у</w:t>
      </w:r>
      <w:r w:rsidRPr="00DC7C8F">
        <w:rPr>
          <w:rFonts w:ascii="Times New Roman" w:eastAsia="Times New Roman" w:hAnsi="Times New Roman" w:hint="eastAsia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6675" w:rsidRPr="00F17890" w:rsidRDefault="00F17890" w:rsidP="00F17890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right="-366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>
        <w:rPr>
          <w:rFonts w:ascii="Times New Roman" w:hAnsi="Times New Roman"/>
          <w:sz w:val="28"/>
          <w:szCs w:val="28"/>
        </w:rPr>
        <w:t>учреждением</w:t>
      </w:r>
      <w:r w:rsidRPr="00FE2C00">
        <w:rPr>
          <w:rFonts w:ascii="Times New Roman" w:hAnsi="Times New Roman"/>
          <w:sz w:val="28"/>
          <w:szCs w:val="28"/>
        </w:rPr>
        <w:t xml:space="preserve"> 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</w:t>
      </w:r>
      <w:r w:rsidRPr="00FE2C00">
        <w:rPr>
          <w:rFonts w:ascii="Times New Roman" w:eastAsia="Times New Roman" w:hAnsi="Times New Roman"/>
          <w:sz w:val="28"/>
          <w:szCs w:val="28"/>
        </w:rPr>
        <w:t>е</w:t>
      </w:r>
      <w:r w:rsidRPr="00FE2C00">
        <w:rPr>
          <w:rFonts w:ascii="Times New Roman" w:eastAsia="Times New Roman" w:hAnsi="Times New Roman"/>
          <w:sz w:val="28"/>
          <w:szCs w:val="28"/>
        </w:rPr>
        <w:t>чен ряд недостатков и нарушений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0C6675" w:rsidRPr="00883D23" w:rsidRDefault="00F17890" w:rsidP="00F17890">
      <w:pPr>
        <w:tabs>
          <w:tab w:val="left" w:pos="993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90">
        <w:rPr>
          <w:rFonts w:ascii="Times New Roman" w:eastAsia="Times New Roman" w:hAnsi="Times New Roman" w:cs="Times New Roman"/>
          <w:sz w:val="28"/>
          <w:szCs w:val="28"/>
        </w:rPr>
        <w:t>В нарушение п.8 Общих требований 26н, пункта 2.6. Порядка соста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ления, утверждения и ведения бюджетных смет Учреждением не представлены к пр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верке обоснования (расчеты) плановых сметных показ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телей, которые являются неотъемлемой частью бюджетной сметы.</w:t>
      </w:r>
    </w:p>
    <w:p w:rsidR="00F17890" w:rsidRPr="00F17890" w:rsidRDefault="00F17890" w:rsidP="00F17890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90">
        <w:rPr>
          <w:rFonts w:ascii="Times New Roman" w:eastAsia="Times New Roman" w:hAnsi="Times New Roman" w:cs="Times New Roman"/>
          <w:sz w:val="28"/>
          <w:szCs w:val="28"/>
        </w:rPr>
        <w:t>Выборочной проверкой трудовых договоров, заключенные с работник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 w:rsidRPr="00F17890">
        <w:rPr>
          <w:rFonts w:ascii="Times New Roman" w:eastAsia="Times New Roman" w:hAnsi="Times New Roman" w:cs="Times New Roman"/>
          <w:sz w:val="28"/>
          <w:szCs w:val="28"/>
        </w:rPr>
        <w:t>Новохоперская</w:t>
      </w:r>
      <w:proofErr w:type="spellEnd"/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 ДЮСШ установлено, несоответствие должностного оклада, у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вержденного штатным расписанием, с должностным окладом, установленным трудовым договором. Трудовые договоры, заключенные с работниками </w:t>
      </w:r>
      <w:proofErr w:type="spellStart"/>
      <w:r w:rsidRPr="00F17890">
        <w:rPr>
          <w:rFonts w:ascii="Times New Roman" w:eastAsia="Times New Roman" w:hAnsi="Times New Roman" w:cs="Times New Roman"/>
          <w:sz w:val="28"/>
          <w:szCs w:val="28"/>
        </w:rPr>
        <w:t>Нов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хоперская</w:t>
      </w:r>
      <w:proofErr w:type="spellEnd"/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 ДЮСШ не соответствуют ст.57 Трудового кодекса в части информ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цию об идентификационном номере налогоплательщика для раб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тодателей.</w:t>
      </w:r>
    </w:p>
    <w:p w:rsidR="00F17890" w:rsidRPr="00F17890" w:rsidRDefault="00F17890" w:rsidP="00F17890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1.5 Положения об оплате </w:t>
      </w:r>
      <w:proofErr w:type="gramStart"/>
      <w:r w:rsidRPr="00F17890">
        <w:rPr>
          <w:rFonts w:ascii="Times New Roman" w:eastAsia="Times New Roman" w:hAnsi="Times New Roman" w:cs="Times New Roman"/>
          <w:sz w:val="28"/>
          <w:szCs w:val="28"/>
        </w:rPr>
        <w:t>труда работников муниц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пального казенного учреждения дополнительного образования Новох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перского муниципального района Воронежской</w:t>
      </w:r>
      <w:proofErr w:type="gramEnd"/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 области «Де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ско-юношеская спортивная школа» от 24.01.2019 г. № 17 штатные расписания не согласованы с учредит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лем. Штатные расписания утверждены в произвольной форме. Форма докуме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та не утверждена учетной политикой.</w:t>
      </w:r>
    </w:p>
    <w:p w:rsidR="00883D23" w:rsidRPr="00883D23" w:rsidRDefault="00F17890" w:rsidP="00F178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890">
        <w:rPr>
          <w:rFonts w:ascii="Times New Roman" w:eastAsia="Times New Roman" w:hAnsi="Times New Roman" w:cs="Times New Roman"/>
          <w:sz w:val="28"/>
          <w:szCs w:val="28"/>
        </w:rPr>
        <w:t>При проверке штатного расписания на 01.01.2022 выявлено превыш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ние месячного фонда оплаты труда работников </w:t>
      </w:r>
      <w:proofErr w:type="spellStart"/>
      <w:r w:rsidRPr="00F17890">
        <w:rPr>
          <w:rFonts w:ascii="Times New Roman" w:eastAsia="Times New Roman" w:hAnsi="Times New Roman" w:cs="Times New Roman"/>
          <w:sz w:val="28"/>
          <w:szCs w:val="28"/>
        </w:rPr>
        <w:t>Новохоперская</w:t>
      </w:r>
      <w:proofErr w:type="spellEnd"/>
      <w:r w:rsidRPr="00F17890">
        <w:rPr>
          <w:rFonts w:ascii="Times New Roman" w:eastAsia="Times New Roman" w:hAnsi="Times New Roman" w:cs="Times New Roman"/>
          <w:sz w:val="28"/>
          <w:szCs w:val="28"/>
        </w:rPr>
        <w:t xml:space="preserve"> ДЮСШ на 7 879,90 рублей по следующей группе должностей директор, зам</w:t>
      </w:r>
      <w:proofErr w:type="gramStart"/>
      <w:r w:rsidRPr="00F1789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F17890">
        <w:rPr>
          <w:rFonts w:ascii="Times New Roman" w:eastAsia="Times New Roman" w:hAnsi="Times New Roman" w:cs="Times New Roman"/>
          <w:sz w:val="28"/>
          <w:szCs w:val="28"/>
        </w:rPr>
        <w:t>иректора по учебно-воспитательной работе, зам. директора по АХЧ, в связи с не проиндексирова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ными окладами и надбавками, что привело к несоответствию расчетов штатн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го расписания. По должностям уборщик служебных помещений – 11 ставок н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верно посчитан месячный ФОТ, превышение составило 138,90 ру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17890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4A78EA" w:rsidRDefault="004A78EA" w:rsidP="004A78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t>Не правомерно проиндексированы оклады по группам должностей: о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служивающий персонал и  учебно-вспомогательный персонал на 10%.</w:t>
      </w:r>
      <w:r w:rsidR="000C6675" w:rsidRPr="00883D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8EA">
        <w:rPr>
          <w:rFonts w:ascii="Times New Roman" w:eastAsia="Times New Roman" w:hAnsi="Times New Roman" w:cs="Times New Roman"/>
          <w:sz w:val="28"/>
          <w:szCs w:val="28"/>
        </w:rPr>
        <w:t>Допущена недоплата по возложению обязанностей директора МКУ ДО на зам. директора по учебно-воспитательной работе Ворона А.Н., в связи с вр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менной нетрудоспособностью Шурыгина В.И. с 14.01.2022, с доплатой за ув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личенный объем работы 30% от должностного оклада по совмещаемой должн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сти (распоряжение Администрации Новохоперского муниц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пального района от 14.01.2022 № 02-рл) в сумме 770,70 рублей.</w:t>
      </w:r>
      <w:r w:rsidR="000C6675" w:rsidRPr="00883D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</w:p>
    <w:p w:rsidR="004A78EA" w:rsidRP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lastRenderedPageBreak/>
        <w:t>В нарушение приказа о премировании сотрудников за 1 квартал 2022 года от 04.04.2022 № 24-ОД премия тренеру Филатову И.Д. установлена в ра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мере 2970,0 рублей, начислена в размере 3 760,0 руб. (расчетно-платежная ведомость №79 за март 2022 г.), необоснованно начисленная сумма премии с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ставила 790 руб. </w:t>
      </w:r>
    </w:p>
    <w:p w:rsidR="004A78EA" w:rsidRPr="004A78EA" w:rsidRDefault="000C6675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78EA" w:rsidRPr="004A78EA">
        <w:rPr>
          <w:rFonts w:ascii="Times New Roman" w:eastAsia="Times New Roman" w:hAnsi="Times New Roman" w:cs="Times New Roman"/>
          <w:sz w:val="28"/>
          <w:szCs w:val="28"/>
        </w:rPr>
        <w:t>В нарушение  части 3 статьи 133, части 1 статьи 129 Трудового Кодекса при доведении месячной заработной платы тренера Пономарева Р.В. по тари</w:t>
      </w:r>
      <w:r w:rsidR="004A78EA" w:rsidRPr="004A78E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A78EA" w:rsidRPr="004A78EA">
        <w:rPr>
          <w:rFonts w:ascii="Times New Roman" w:eastAsia="Times New Roman" w:hAnsi="Times New Roman" w:cs="Times New Roman"/>
          <w:sz w:val="28"/>
          <w:szCs w:val="28"/>
        </w:rPr>
        <w:t>ной ставке до МРОТ, полностью отработавшего норму рабочего времени за о</w:t>
      </w:r>
      <w:r w:rsidR="004A78EA" w:rsidRPr="004A78E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A78EA" w:rsidRPr="004A78EA">
        <w:rPr>
          <w:rFonts w:ascii="Times New Roman" w:eastAsia="Times New Roman" w:hAnsi="Times New Roman" w:cs="Times New Roman"/>
          <w:sz w:val="28"/>
          <w:szCs w:val="28"/>
        </w:rPr>
        <w:t>работанный период при расчете не учтена премия за месяц, квартал 2022, 2023 годов, что привело к переплате в сумме 11 119,0 рублей.</w:t>
      </w:r>
      <w:proofErr w:type="gramEnd"/>
    </w:p>
    <w:p w:rsidR="004A78EA" w:rsidRP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В нарушение Федерального закона от 19.06.2000 N 82-ФЗ (ред. от 19.12.2022) «О минимальном </w:t>
      </w:r>
      <w:proofErr w:type="gramStart"/>
      <w:r w:rsidRPr="004A78EA"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 w:rsidRPr="004A78EA">
        <w:rPr>
          <w:rFonts w:ascii="Times New Roman" w:eastAsia="Times New Roman" w:hAnsi="Times New Roman" w:cs="Times New Roman"/>
          <w:sz w:val="28"/>
          <w:szCs w:val="28"/>
        </w:rPr>
        <w:t>» заработная плата трен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ру Пономареву Р.В. за январь, февраль, март, май, июнь 2023 года начислена без учета установленного МРОТ. Недоплата составила 4 815,00 ру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4A78EA" w:rsidRP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В нарушение требований </w:t>
      </w:r>
      <w:hyperlink r:id="rId7" w:history="1">
        <w:r w:rsidRPr="004A78EA">
          <w:rPr>
            <w:rFonts w:ascii="Times New Roman" w:eastAsia="Times New Roman" w:hAnsi="Times New Roman" w:cs="Times New Roman"/>
            <w:sz w:val="28"/>
            <w:szCs w:val="28"/>
          </w:rPr>
          <w:t>Приложения 5</w:t>
        </w:r>
      </w:hyperlink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 к Приказу Минфина РФ от 30.03.2015 N 52н «Об утверждении форм первичных учетных документов и р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гистров бухгалтерского учета, применяемых органами государственной власти (государственными органами), органами местного самоупра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ления, органами управления государственными внебюджетными фондами, госуда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ственными (муниципальными) учреждениями, и Методических указаний по их примен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нию» (Приказ №52н):</w:t>
      </w:r>
    </w:p>
    <w:p w:rsidR="004A78EA" w:rsidRP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tab/>
      </w:r>
      <w:r w:rsidRPr="004A78EA">
        <w:rPr>
          <w:rFonts w:ascii="Times New Roman" w:eastAsia="Times New Roman" w:hAnsi="Times New Roman" w:cs="Times New Roman"/>
          <w:sz w:val="28"/>
          <w:szCs w:val="28"/>
        </w:rPr>
        <w:tab/>
        <w:t>- Записка-расчет об исчислении среднего заработка при предоста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лении отпуска, увольнении и других случаях </w:t>
      </w:r>
      <w:hyperlink r:id="rId8" w:history="1">
        <w:r w:rsidRPr="004A78EA">
          <w:rPr>
            <w:rFonts w:ascii="Times New Roman" w:eastAsia="Times New Roman" w:hAnsi="Times New Roman" w:cs="Times New Roman"/>
            <w:sz w:val="28"/>
            <w:szCs w:val="28"/>
          </w:rPr>
          <w:t>(ф. 0504425)</w:t>
        </w:r>
      </w:hyperlink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 при расчете среднего заработка для определения сумм отпускной заработной платы, компенсации при увольнении и других случаях в соответствии с действующим законодател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ством, не применяется.</w:t>
      </w:r>
    </w:p>
    <w:p w:rsidR="004A78EA" w:rsidRP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t>В нарушение пункта 2 ст. 9 Федерального закона от 06.12.2011 №402-ФЗ «О бухгалтерском учете» Расчетно-платежные ведомости в проверяемом п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риоде не содержат обязательные реквизиты подписи лиц, наименование дол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ности лица, совершившего операцию и ответственного за ее оформление.</w:t>
      </w:r>
    </w:p>
    <w:p w:rsidR="004A78EA" w:rsidRP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t>В нарушение пункта 11 Инструкции N157н, в нарушение пункта 4 ст.10 Федерального закона от 06.12.2011 №402-ФЗ журнал операций №6  «расчетов по заработной плате, денежному довольствию и стипендии» за проверяемый период не содержит обязательных реквизитов, установленные законодательс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вом о бухгалтерском учете, отсутствует подпись главного бухгалтера и испо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нителя.</w:t>
      </w:r>
    </w:p>
    <w:p w:rsidR="004A78EA" w:rsidRPr="004A78EA" w:rsidRDefault="004A78EA" w:rsidP="004A78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8EA">
        <w:rPr>
          <w:rFonts w:ascii="Times New Roman" w:eastAsia="Times New Roman" w:hAnsi="Times New Roman" w:cs="Times New Roman"/>
          <w:sz w:val="28"/>
          <w:szCs w:val="28"/>
        </w:rPr>
        <w:t>В нарушение п. 167 Инструкции N 157н "Об утверждении Единого плана счетов бухгалтерского учета для органов государственной власти (государс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венных органов), органов местного самоуправления, органов управления гос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дарственными внебюджетными фондами, государственных академий наук, г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сударственных (муниципальных) учреждений и Инструкции по его примен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нию", Указаний Центрального ба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ка Российской Федерации от 11.03.2014 № 3210-У «О порядке ведения кассовых операций юридическими лицами и упр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щенном порядке ведения кассовых операций</w:t>
      </w:r>
      <w:proofErr w:type="gramEnd"/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предприним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телями и субъектами малого предпринимательства» ведение кассовых опер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ций в проверяемом периоде не осуществлялось. Нарушение порядка работы с денежной наличностью и порядка ведения кассовых опер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ций, выразившееся в </w:t>
      </w:r>
      <w:proofErr w:type="spellStart"/>
      <w:r w:rsidRPr="004A78EA">
        <w:rPr>
          <w:rFonts w:ascii="Times New Roman" w:eastAsia="Times New Roman" w:hAnsi="Times New Roman" w:cs="Times New Roman"/>
          <w:sz w:val="28"/>
          <w:szCs w:val="28"/>
        </w:rPr>
        <w:lastRenderedPageBreak/>
        <w:t>неоприходовании</w:t>
      </w:r>
      <w:proofErr w:type="spellEnd"/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 в кассу денежной наличности, несоблюдении порядка хран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ния свободных денежных средств, а равно в накоплении в кассе наличных д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нег сверх установленных лимитов.</w:t>
      </w:r>
    </w:p>
    <w:p w:rsidR="004A78EA" w:rsidRPr="004A78EA" w:rsidRDefault="004A78EA" w:rsidP="004A7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8EA">
        <w:rPr>
          <w:rFonts w:ascii="Times New Roman" w:eastAsia="Times New Roman" w:hAnsi="Times New Roman" w:cs="Times New Roman"/>
          <w:sz w:val="28"/>
          <w:szCs w:val="28"/>
        </w:rPr>
        <w:t>В нарушение требований  п.11.1. Инструкции от 28.12.2010 № 191н в с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8EA">
        <w:rPr>
          <w:rFonts w:ascii="Times New Roman" w:eastAsia="Times New Roman" w:hAnsi="Times New Roman" w:cs="Times New Roman"/>
          <w:sz w:val="28"/>
          <w:szCs w:val="28"/>
        </w:rPr>
        <w:t xml:space="preserve">ставе бюджетной отчетности отсутствует Пояснительная записка </w:t>
      </w:r>
      <w:hyperlink r:id="rId9" w:history="1">
        <w:r w:rsidRPr="004A78EA">
          <w:rPr>
            <w:rFonts w:ascii="Times New Roman" w:eastAsia="Times New Roman" w:hAnsi="Times New Roman" w:cs="Times New Roman"/>
            <w:sz w:val="28"/>
            <w:szCs w:val="28"/>
          </w:rPr>
          <w:t>(ф. 0503160)</w:t>
        </w:r>
      </w:hyperlink>
      <w:r w:rsidRPr="004A7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A75" w:rsidRPr="00555A75" w:rsidRDefault="000C6675" w:rsidP="004A78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A75" w:rsidRPr="004A78EA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контрольного 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мероприятия утвержден председат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 xml:space="preserve"> ревизионной комиссии Новохопёрского муниципального района Вороне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 </w:t>
      </w:r>
      <w:r w:rsidR="004A78E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8E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55A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5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A75" w:rsidRPr="00555A7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F16F7" w:rsidRPr="001F58F0" w:rsidRDefault="0018470B" w:rsidP="002B5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F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F58F0" w:rsidRPr="00EE350A">
        <w:rPr>
          <w:rFonts w:ascii="Times New Roman" w:hAnsi="Times New Roman" w:cs="Times New Roman"/>
          <w:sz w:val="28"/>
          <w:szCs w:val="28"/>
        </w:rPr>
        <w:t>По результатам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2635CD">
        <w:rPr>
          <w:rFonts w:ascii="Times New Roman" w:hAnsi="Times New Roman" w:cs="Times New Roman"/>
          <w:sz w:val="28"/>
          <w:szCs w:val="28"/>
        </w:rPr>
        <w:t>п</w:t>
      </w:r>
      <w:r w:rsidR="001F58F0" w:rsidRPr="0080606A">
        <w:rPr>
          <w:rFonts w:ascii="Times New Roman" w:hAnsi="Times New Roman" w:cs="Times New Roman"/>
          <w:sz w:val="28"/>
          <w:szCs w:val="28"/>
        </w:rPr>
        <w:t>редседател</w:t>
      </w:r>
      <w:r w:rsidR="002635CD">
        <w:rPr>
          <w:rFonts w:ascii="Times New Roman" w:hAnsi="Times New Roman" w:cs="Times New Roman"/>
          <w:sz w:val="28"/>
          <w:szCs w:val="28"/>
        </w:rPr>
        <w:t>ем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1F58F0" w:rsidRPr="002635CD">
        <w:rPr>
          <w:rFonts w:ascii="Times New Roman" w:eastAsia="Times New Roman" w:hAnsi="Times New Roman" w:cs="Times New Roman"/>
          <w:sz w:val="28"/>
          <w:szCs w:val="28"/>
        </w:rPr>
        <w:t>Новохопёрского муниципального района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 xml:space="preserve">ля устранения выявленных нарушений </w:t>
      </w:r>
      <w:r w:rsidR="001F58F0" w:rsidRPr="004A78EA">
        <w:rPr>
          <w:rFonts w:ascii="Times New Roman" w:hAnsi="Times New Roman" w:cs="Times New Roman"/>
          <w:sz w:val="28"/>
          <w:szCs w:val="28"/>
        </w:rPr>
        <w:t>д</w:t>
      </w:r>
      <w:r w:rsidR="00E23DD3" w:rsidRPr="004A78EA">
        <w:rPr>
          <w:rFonts w:ascii="Times New Roman" w:hAnsi="Times New Roman" w:cs="Times New Roman"/>
          <w:sz w:val="28"/>
          <w:szCs w:val="28"/>
        </w:rPr>
        <w:t xml:space="preserve">иректору </w:t>
      </w:r>
      <w:proofErr w:type="spellStart"/>
      <w:r w:rsidR="004A78EA" w:rsidRPr="004A78EA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="004A78EA" w:rsidRPr="004A78EA">
        <w:rPr>
          <w:rFonts w:ascii="Times New Roman" w:hAnsi="Times New Roman" w:cs="Times New Roman"/>
          <w:sz w:val="28"/>
          <w:szCs w:val="28"/>
        </w:rPr>
        <w:t xml:space="preserve"> ДЮСШ</w:t>
      </w:r>
      <w:r w:rsidR="00883D23" w:rsidRPr="0088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8EA">
        <w:rPr>
          <w:rFonts w:ascii="Times New Roman" w:eastAsia="Times New Roman" w:hAnsi="Times New Roman" w:cs="Times New Roman"/>
          <w:sz w:val="28"/>
          <w:szCs w:val="28"/>
        </w:rPr>
        <w:t>Шурыгину</w:t>
      </w:r>
      <w:r w:rsidR="00883D23" w:rsidRPr="0088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8EA">
        <w:rPr>
          <w:rFonts w:ascii="Times New Roman" w:eastAsia="Times New Roman" w:hAnsi="Times New Roman" w:cs="Times New Roman"/>
          <w:sz w:val="28"/>
          <w:szCs w:val="28"/>
        </w:rPr>
        <w:t>Виктору</w:t>
      </w:r>
      <w:r w:rsidR="00883D23" w:rsidRPr="00883D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8EA">
        <w:rPr>
          <w:rFonts w:ascii="Times New Roman" w:eastAsia="Times New Roman" w:hAnsi="Times New Roman" w:cs="Times New Roman"/>
          <w:sz w:val="28"/>
          <w:szCs w:val="28"/>
        </w:rPr>
        <w:t>Ивановичу</w:t>
      </w:r>
      <w:r w:rsidR="002635CD">
        <w:rPr>
          <w:rFonts w:ascii="Times New Roman" w:eastAsia="Times New Roman" w:hAnsi="Times New Roman" w:cs="Times New Roman"/>
          <w:sz w:val="28"/>
          <w:szCs w:val="28"/>
        </w:rPr>
        <w:t xml:space="preserve"> выдано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5622B4" w:rsidRPr="001F58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A29" w:rsidRDefault="00C83A29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2B593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2B5939">
      <w:pPr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2635CD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Default="006A45EF" w:rsidP="00883D23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563DD0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6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280393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2975"/>
    <w:rsid w:val="000C4C21"/>
    <w:rsid w:val="000C6675"/>
    <w:rsid w:val="000F16F7"/>
    <w:rsid w:val="00107C12"/>
    <w:rsid w:val="00135E51"/>
    <w:rsid w:val="001655DC"/>
    <w:rsid w:val="00166EA9"/>
    <w:rsid w:val="0018470B"/>
    <w:rsid w:val="001A2035"/>
    <w:rsid w:val="001C6414"/>
    <w:rsid w:val="001E3E1C"/>
    <w:rsid w:val="001F58F0"/>
    <w:rsid w:val="00216981"/>
    <w:rsid w:val="0021748D"/>
    <w:rsid w:val="002373F9"/>
    <w:rsid w:val="002635CD"/>
    <w:rsid w:val="00282688"/>
    <w:rsid w:val="00286F0F"/>
    <w:rsid w:val="002A2581"/>
    <w:rsid w:val="002A2BB1"/>
    <w:rsid w:val="002A3374"/>
    <w:rsid w:val="002B5939"/>
    <w:rsid w:val="002C3C24"/>
    <w:rsid w:val="002D01BF"/>
    <w:rsid w:val="002D5F37"/>
    <w:rsid w:val="002E28AB"/>
    <w:rsid w:val="0030125D"/>
    <w:rsid w:val="0031135F"/>
    <w:rsid w:val="00337821"/>
    <w:rsid w:val="00351015"/>
    <w:rsid w:val="00351B46"/>
    <w:rsid w:val="00363DBD"/>
    <w:rsid w:val="0039233E"/>
    <w:rsid w:val="003E6096"/>
    <w:rsid w:val="0042259F"/>
    <w:rsid w:val="00447E58"/>
    <w:rsid w:val="00477BB1"/>
    <w:rsid w:val="00495C07"/>
    <w:rsid w:val="004A78EA"/>
    <w:rsid w:val="0051402C"/>
    <w:rsid w:val="0051766E"/>
    <w:rsid w:val="00524422"/>
    <w:rsid w:val="00533B5F"/>
    <w:rsid w:val="00540A24"/>
    <w:rsid w:val="00555A75"/>
    <w:rsid w:val="005622B4"/>
    <w:rsid w:val="00582E90"/>
    <w:rsid w:val="00593CDC"/>
    <w:rsid w:val="005A3C0D"/>
    <w:rsid w:val="005C04E1"/>
    <w:rsid w:val="0065221B"/>
    <w:rsid w:val="00655E4A"/>
    <w:rsid w:val="00682354"/>
    <w:rsid w:val="006A45EF"/>
    <w:rsid w:val="006C38DD"/>
    <w:rsid w:val="007513FE"/>
    <w:rsid w:val="00795B34"/>
    <w:rsid w:val="007C03E8"/>
    <w:rsid w:val="007C70D6"/>
    <w:rsid w:val="007D049F"/>
    <w:rsid w:val="007D4B7B"/>
    <w:rsid w:val="00801D49"/>
    <w:rsid w:val="00831F8E"/>
    <w:rsid w:val="008335BB"/>
    <w:rsid w:val="00856EFD"/>
    <w:rsid w:val="008747B2"/>
    <w:rsid w:val="00883D23"/>
    <w:rsid w:val="008A5E6D"/>
    <w:rsid w:val="008C62FA"/>
    <w:rsid w:val="008D58AF"/>
    <w:rsid w:val="008E43E6"/>
    <w:rsid w:val="008F16F0"/>
    <w:rsid w:val="008F4B1B"/>
    <w:rsid w:val="00912FE4"/>
    <w:rsid w:val="009376DE"/>
    <w:rsid w:val="009568A7"/>
    <w:rsid w:val="009A14D3"/>
    <w:rsid w:val="009A1934"/>
    <w:rsid w:val="009C60CB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A6580"/>
    <w:rsid w:val="00BB629E"/>
    <w:rsid w:val="00BB7FFE"/>
    <w:rsid w:val="00BD3715"/>
    <w:rsid w:val="00BF3339"/>
    <w:rsid w:val="00C437D0"/>
    <w:rsid w:val="00C55F06"/>
    <w:rsid w:val="00C654DE"/>
    <w:rsid w:val="00C83A29"/>
    <w:rsid w:val="00CC32F9"/>
    <w:rsid w:val="00D2562A"/>
    <w:rsid w:val="00D26346"/>
    <w:rsid w:val="00D6067C"/>
    <w:rsid w:val="00D70478"/>
    <w:rsid w:val="00D73420"/>
    <w:rsid w:val="00D876EE"/>
    <w:rsid w:val="00DA383D"/>
    <w:rsid w:val="00DC40BA"/>
    <w:rsid w:val="00DC7C8F"/>
    <w:rsid w:val="00E23DD3"/>
    <w:rsid w:val="00E4375E"/>
    <w:rsid w:val="00E448C9"/>
    <w:rsid w:val="00E55047"/>
    <w:rsid w:val="00E662FA"/>
    <w:rsid w:val="00E704F9"/>
    <w:rsid w:val="00ED042C"/>
    <w:rsid w:val="00EE4516"/>
    <w:rsid w:val="00F17890"/>
    <w:rsid w:val="00F36B46"/>
    <w:rsid w:val="00F51621"/>
    <w:rsid w:val="00F623B8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22">
    <w:name w:val="Body Text Indent 2"/>
    <w:basedOn w:val="a"/>
    <w:link w:val="23"/>
    <w:rsid w:val="000C66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C667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883D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83D2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DC7C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locked/>
    <w:rsid w:val="00DC7C8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F148EEF62A99CC5EECE5473CFF9FA852656EA2F62CB50174BB76FEB121ED04F43D24B267D4213Ew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CFBC191CDA33CD7844E55E78E20DC60FACBD098D1C0FE6960D7D78B4834BCC71995FA813CF2593D6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DB7FED5D34DE67AC13A743F4352309E06684DFDCBF0DDF048AAE7A35B7E44FBD8FEE1E2B48305996F9E1CF6B0C382C2DA40383553E398VC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1F8A-8E56-4A96-8A45-3DF6CB7E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34</cp:revision>
  <cp:lastPrinted>2022-08-12T08:31:00Z</cp:lastPrinted>
  <dcterms:created xsi:type="dcterms:W3CDTF">2017-06-22T11:44:00Z</dcterms:created>
  <dcterms:modified xsi:type="dcterms:W3CDTF">2024-01-17T11:01:00Z</dcterms:modified>
</cp:coreProperties>
</file>